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AC299" w14:textId="77777777" w:rsidR="00644A5F" w:rsidRDefault="00644A5F" w:rsidP="00644A5F">
      <w:pPr>
        <w:spacing w:after="0" w:line="259" w:lineRule="auto"/>
        <w:ind w:left="18" w:right="4"/>
        <w:jc w:val="center"/>
      </w:pPr>
      <w:r>
        <w:rPr>
          <w:b/>
        </w:rPr>
        <w:t xml:space="preserve">Ministerial Decision No. 97 of 2023 Requirements for Maintaining Transfer Pricing </w:t>
      </w:r>
    </w:p>
    <w:p w14:paraId="34984000" w14:textId="77777777" w:rsidR="00644A5F" w:rsidRDefault="00644A5F" w:rsidP="00644A5F">
      <w:pPr>
        <w:spacing w:after="0" w:line="259" w:lineRule="auto"/>
        <w:ind w:left="401"/>
      </w:pPr>
      <w:r>
        <w:rPr>
          <w:b/>
        </w:rPr>
        <w:t xml:space="preserve">Documentation for the Purposes of Federal Decree-Law No. 47 of 2022 on the Taxation of </w:t>
      </w:r>
    </w:p>
    <w:p w14:paraId="4FDC005D" w14:textId="77777777" w:rsidR="00644A5F" w:rsidRDefault="00644A5F" w:rsidP="00644A5F">
      <w:pPr>
        <w:pStyle w:val="Heading1"/>
        <w:ind w:left="18" w:right="1"/>
      </w:pPr>
      <w:r>
        <w:t>Corporations and Businesses</w:t>
      </w:r>
      <w:r>
        <w:rPr>
          <w:b w:val="0"/>
        </w:rPr>
        <w:t xml:space="preserve"> </w:t>
      </w:r>
    </w:p>
    <w:p w14:paraId="19EACBBD" w14:textId="77777777" w:rsidR="00644A5F" w:rsidRDefault="00644A5F" w:rsidP="00644A5F"/>
    <w:p w14:paraId="4E550E94" w14:textId="3BB13FD6" w:rsidR="00644A5F" w:rsidRDefault="00644A5F" w:rsidP="00644A5F">
      <w:r>
        <w:t>Ministerial Decision No. 97 of 2023 outlines the requirements for maintaining transfer pricing documentation for Taxable Persons under the Federal Decree-Law No. 47 of 2022 on the Taxation of Corporations and Businesses in the United Arab Emirates. The key points of the decision are as follows:</w:t>
      </w:r>
    </w:p>
    <w:p w14:paraId="301D332F" w14:textId="77777777" w:rsidR="00644A5F" w:rsidRDefault="00644A5F" w:rsidP="00644A5F"/>
    <w:p w14:paraId="6B416FBB" w14:textId="77777777" w:rsidR="00644A5F" w:rsidRPr="00644A5F" w:rsidRDefault="00644A5F" w:rsidP="00644A5F">
      <w:pPr>
        <w:rPr>
          <w:b/>
          <w:bCs/>
        </w:rPr>
      </w:pPr>
      <w:r w:rsidRPr="00644A5F">
        <w:rPr>
          <w:b/>
          <w:bCs/>
        </w:rPr>
        <w:t>Article 1: Definitions</w:t>
      </w:r>
    </w:p>
    <w:p w14:paraId="48685B15" w14:textId="77777777" w:rsidR="00644A5F" w:rsidRDefault="00644A5F" w:rsidP="00644A5F"/>
    <w:p w14:paraId="667B2219" w14:textId="77777777" w:rsidR="00644A5F" w:rsidRDefault="00644A5F" w:rsidP="00644A5F">
      <w:r>
        <w:t>The decision adopts the definitions specified in the Federal Decree-Law No. 47 of 2022 (Corporate Tax Law) for this implementation.</w:t>
      </w:r>
    </w:p>
    <w:p w14:paraId="356C0905" w14:textId="77777777" w:rsidR="00644A5F" w:rsidRDefault="00644A5F" w:rsidP="00644A5F"/>
    <w:p w14:paraId="1CD80162" w14:textId="5F96C0B7" w:rsidR="00644A5F" w:rsidRPr="00644A5F" w:rsidRDefault="00644A5F" w:rsidP="00644A5F">
      <w:pPr>
        <w:rPr>
          <w:b/>
          <w:bCs/>
        </w:rPr>
      </w:pPr>
      <w:r w:rsidRPr="00644A5F">
        <w:rPr>
          <w:b/>
          <w:bCs/>
        </w:rPr>
        <w:t>Article 2: Conditions for Maintaining Master File and Local File</w:t>
      </w:r>
    </w:p>
    <w:p w14:paraId="25B9E073" w14:textId="77777777" w:rsidR="00644A5F" w:rsidRPr="00644A5F" w:rsidRDefault="00644A5F" w:rsidP="00644A5F">
      <w:pPr>
        <w:rPr>
          <w:b/>
          <w:bCs/>
        </w:rPr>
      </w:pPr>
    </w:p>
    <w:p w14:paraId="66E45911" w14:textId="77777777" w:rsidR="00644A5F" w:rsidRDefault="00644A5F" w:rsidP="00644A5F">
      <w:r>
        <w:t>Taxable Persons meeting specific revenue thresholds or being part of a Multinational Enterprises Group must maintain both a master file and a local file for the relevant Tax Period.</w:t>
      </w:r>
    </w:p>
    <w:p w14:paraId="6139D157" w14:textId="77777777" w:rsidR="00644A5F" w:rsidRDefault="00644A5F" w:rsidP="00644A5F">
      <w:r>
        <w:t>The local file should include transactions or arrangements with certain Related Parties and Connected Persons, while excluding others based on specific criteria.</w:t>
      </w:r>
    </w:p>
    <w:p w14:paraId="0220F397" w14:textId="77777777" w:rsidR="00644A5F" w:rsidRDefault="00644A5F" w:rsidP="00644A5F">
      <w:r>
        <w:t>The decision provides conditions for determining when parties in a transaction or arrangement are considered acting as if they were independent of each other.</w:t>
      </w:r>
    </w:p>
    <w:p w14:paraId="5B64F152" w14:textId="77777777" w:rsidR="00644A5F" w:rsidRDefault="00644A5F" w:rsidP="00644A5F"/>
    <w:p w14:paraId="452D9A6F" w14:textId="0CA2C4CF" w:rsidR="00644A5F" w:rsidRPr="00644A5F" w:rsidRDefault="00644A5F" w:rsidP="00644A5F">
      <w:pPr>
        <w:rPr>
          <w:b/>
          <w:bCs/>
        </w:rPr>
      </w:pPr>
      <w:r w:rsidRPr="00644A5F">
        <w:rPr>
          <w:b/>
          <w:bCs/>
        </w:rPr>
        <w:t>Article 3: Transfer Pricing Documentation Guidelines</w:t>
      </w:r>
    </w:p>
    <w:p w14:paraId="018A5F1C" w14:textId="77777777" w:rsidR="00644A5F" w:rsidRDefault="00644A5F" w:rsidP="00644A5F"/>
    <w:p w14:paraId="346F63EE" w14:textId="77777777" w:rsidR="00644A5F" w:rsidRDefault="00644A5F" w:rsidP="00644A5F">
      <w:r>
        <w:t>The Authority will issue guidelines for the application of the provisions of this Decision and maintaining transfer pricing documentation.</w:t>
      </w:r>
    </w:p>
    <w:p w14:paraId="45EEBEED" w14:textId="77777777" w:rsidR="00644A5F" w:rsidRDefault="00644A5F" w:rsidP="00644A5F"/>
    <w:p w14:paraId="30596220" w14:textId="4A8AB280" w:rsidR="00644A5F" w:rsidRPr="00644A5F" w:rsidRDefault="00644A5F" w:rsidP="00644A5F">
      <w:pPr>
        <w:rPr>
          <w:b/>
          <w:bCs/>
        </w:rPr>
      </w:pPr>
      <w:r w:rsidRPr="00644A5F">
        <w:rPr>
          <w:b/>
          <w:bCs/>
        </w:rPr>
        <w:t>Article 4: Publication and Application of this Decision</w:t>
      </w:r>
    </w:p>
    <w:p w14:paraId="70164199" w14:textId="77777777" w:rsidR="00644A5F" w:rsidRDefault="00644A5F" w:rsidP="00644A5F"/>
    <w:p w14:paraId="20DF7638" w14:textId="77777777" w:rsidR="00644A5F" w:rsidRDefault="00644A5F" w:rsidP="00644A5F">
      <w:r>
        <w:t>The Decision shall be published and come into effect on the day following its publication.</w:t>
      </w:r>
    </w:p>
    <w:p w14:paraId="6ACFFC26" w14:textId="37C7064E" w:rsidR="00BD1EB1" w:rsidRPr="00644A5F" w:rsidRDefault="00644A5F" w:rsidP="00644A5F">
      <w:r>
        <w:t>The decision aims to ensure that Taxable Persons comply with transfer pricing regulations and maintain accurate documentation to facilitate proper assessment of related party transactions and prevent tax evasion or avoidance through transfer pricing practices.</w:t>
      </w:r>
    </w:p>
    <w:sectPr w:rsidR="00BD1EB1" w:rsidRPr="00644A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A5F"/>
    <w:rsid w:val="002E71BE"/>
    <w:rsid w:val="00644A5F"/>
    <w:rsid w:val="00BD1EB1"/>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26A71"/>
  <w15:chartTrackingRefBased/>
  <w15:docId w15:val="{7C078386-CB9D-473A-9C9F-EB810C272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A5F"/>
    <w:pPr>
      <w:spacing w:after="4" w:line="250" w:lineRule="auto"/>
      <w:ind w:left="370" w:hanging="10"/>
    </w:pPr>
    <w:rPr>
      <w:rFonts w:ascii="Arial" w:eastAsia="Arial" w:hAnsi="Arial" w:cs="Arial"/>
      <w:color w:val="000000"/>
      <w:sz w:val="20"/>
      <w:lang w:eastAsia="en-AE"/>
    </w:rPr>
  </w:style>
  <w:style w:type="paragraph" w:styleId="Heading1">
    <w:name w:val="heading 1"/>
    <w:next w:val="Normal"/>
    <w:link w:val="Heading1Char"/>
    <w:uiPriority w:val="9"/>
    <w:qFormat/>
    <w:rsid w:val="00644A5F"/>
    <w:pPr>
      <w:keepNext/>
      <w:keepLines/>
      <w:spacing w:after="0"/>
      <w:ind w:left="14" w:hanging="10"/>
      <w:jc w:val="center"/>
      <w:outlineLvl w:val="0"/>
    </w:pPr>
    <w:rPr>
      <w:rFonts w:ascii="Arial" w:eastAsia="Arial" w:hAnsi="Arial" w:cs="Arial"/>
      <w:b/>
      <w:color w:val="000000"/>
      <w:sz w:val="20"/>
      <w:lang w:eastAsia="en-A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A5F"/>
    <w:rPr>
      <w:rFonts w:ascii="Arial" w:eastAsia="Arial" w:hAnsi="Arial" w:cs="Arial"/>
      <w:b/>
      <w:color w:val="000000"/>
      <w:sz w:val="20"/>
      <w:lang w:eastAsia="en-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343488">
      <w:bodyDiv w:val="1"/>
      <w:marLeft w:val="0"/>
      <w:marRight w:val="0"/>
      <w:marTop w:val="0"/>
      <w:marBottom w:val="0"/>
      <w:divBdr>
        <w:top w:val="none" w:sz="0" w:space="0" w:color="auto"/>
        <w:left w:val="none" w:sz="0" w:space="0" w:color="auto"/>
        <w:bottom w:val="none" w:sz="0" w:space="0" w:color="auto"/>
        <w:right w:val="none" w:sz="0" w:space="0" w:color="auto"/>
      </w:divBdr>
      <w:divsChild>
        <w:div w:id="615018993">
          <w:marLeft w:val="0"/>
          <w:marRight w:val="0"/>
          <w:marTop w:val="0"/>
          <w:marBottom w:val="0"/>
          <w:divBdr>
            <w:top w:val="single" w:sz="2" w:space="0" w:color="D9D9E3"/>
            <w:left w:val="single" w:sz="2" w:space="0" w:color="D9D9E3"/>
            <w:bottom w:val="single" w:sz="2" w:space="0" w:color="D9D9E3"/>
            <w:right w:val="single" w:sz="2" w:space="0" w:color="D9D9E3"/>
          </w:divBdr>
          <w:divsChild>
            <w:div w:id="520702532">
              <w:marLeft w:val="0"/>
              <w:marRight w:val="0"/>
              <w:marTop w:val="0"/>
              <w:marBottom w:val="0"/>
              <w:divBdr>
                <w:top w:val="single" w:sz="2" w:space="0" w:color="D9D9E3"/>
                <w:left w:val="single" w:sz="2" w:space="0" w:color="D9D9E3"/>
                <w:bottom w:val="single" w:sz="2" w:space="0" w:color="D9D9E3"/>
                <w:right w:val="single" w:sz="2" w:space="0" w:color="D9D9E3"/>
              </w:divBdr>
              <w:divsChild>
                <w:div w:id="337856758">
                  <w:marLeft w:val="0"/>
                  <w:marRight w:val="0"/>
                  <w:marTop w:val="0"/>
                  <w:marBottom w:val="0"/>
                  <w:divBdr>
                    <w:top w:val="single" w:sz="2" w:space="0" w:color="D9D9E3"/>
                    <w:left w:val="single" w:sz="2" w:space="0" w:color="D9D9E3"/>
                    <w:bottom w:val="single" w:sz="2" w:space="0" w:color="D9D9E3"/>
                    <w:right w:val="single" w:sz="2" w:space="0" w:color="D9D9E3"/>
                  </w:divBdr>
                  <w:divsChild>
                    <w:div w:id="989866674">
                      <w:marLeft w:val="0"/>
                      <w:marRight w:val="0"/>
                      <w:marTop w:val="0"/>
                      <w:marBottom w:val="0"/>
                      <w:divBdr>
                        <w:top w:val="single" w:sz="2" w:space="0" w:color="D9D9E3"/>
                        <w:left w:val="single" w:sz="2" w:space="0" w:color="D9D9E3"/>
                        <w:bottom w:val="single" w:sz="2" w:space="0" w:color="D9D9E3"/>
                        <w:right w:val="single" w:sz="2" w:space="0" w:color="D9D9E3"/>
                      </w:divBdr>
                      <w:divsChild>
                        <w:div w:id="1866214731">
                          <w:marLeft w:val="0"/>
                          <w:marRight w:val="0"/>
                          <w:marTop w:val="0"/>
                          <w:marBottom w:val="0"/>
                          <w:divBdr>
                            <w:top w:val="single" w:sz="2" w:space="0" w:color="auto"/>
                            <w:left w:val="single" w:sz="2" w:space="0" w:color="auto"/>
                            <w:bottom w:val="single" w:sz="6" w:space="0" w:color="auto"/>
                            <w:right w:val="single" w:sz="2" w:space="0" w:color="auto"/>
                          </w:divBdr>
                          <w:divsChild>
                            <w:div w:id="828835947">
                              <w:marLeft w:val="0"/>
                              <w:marRight w:val="0"/>
                              <w:marTop w:val="100"/>
                              <w:marBottom w:val="100"/>
                              <w:divBdr>
                                <w:top w:val="single" w:sz="2" w:space="0" w:color="D9D9E3"/>
                                <w:left w:val="single" w:sz="2" w:space="0" w:color="D9D9E3"/>
                                <w:bottom w:val="single" w:sz="2" w:space="0" w:color="D9D9E3"/>
                                <w:right w:val="single" w:sz="2" w:space="0" w:color="D9D9E3"/>
                              </w:divBdr>
                              <w:divsChild>
                                <w:div w:id="175273680">
                                  <w:marLeft w:val="0"/>
                                  <w:marRight w:val="0"/>
                                  <w:marTop w:val="0"/>
                                  <w:marBottom w:val="0"/>
                                  <w:divBdr>
                                    <w:top w:val="single" w:sz="2" w:space="0" w:color="D9D9E3"/>
                                    <w:left w:val="single" w:sz="2" w:space="0" w:color="D9D9E3"/>
                                    <w:bottom w:val="single" w:sz="2" w:space="0" w:color="D9D9E3"/>
                                    <w:right w:val="single" w:sz="2" w:space="0" w:color="D9D9E3"/>
                                  </w:divBdr>
                                  <w:divsChild>
                                    <w:div w:id="1180588402">
                                      <w:marLeft w:val="0"/>
                                      <w:marRight w:val="0"/>
                                      <w:marTop w:val="0"/>
                                      <w:marBottom w:val="0"/>
                                      <w:divBdr>
                                        <w:top w:val="single" w:sz="2" w:space="0" w:color="D9D9E3"/>
                                        <w:left w:val="single" w:sz="2" w:space="0" w:color="D9D9E3"/>
                                        <w:bottom w:val="single" w:sz="2" w:space="0" w:color="D9D9E3"/>
                                        <w:right w:val="single" w:sz="2" w:space="0" w:color="D9D9E3"/>
                                      </w:divBdr>
                                      <w:divsChild>
                                        <w:div w:id="77094867">
                                          <w:marLeft w:val="0"/>
                                          <w:marRight w:val="0"/>
                                          <w:marTop w:val="0"/>
                                          <w:marBottom w:val="0"/>
                                          <w:divBdr>
                                            <w:top w:val="single" w:sz="2" w:space="0" w:color="D9D9E3"/>
                                            <w:left w:val="single" w:sz="2" w:space="0" w:color="D9D9E3"/>
                                            <w:bottom w:val="single" w:sz="2" w:space="0" w:color="D9D9E3"/>
                                            <w:right w:val="single" w:sz="2" w:space="0" w:color="D9D9E3"/>
                                          </w:divBdr>
                                          <w:divsChild>
                                            <w:div w:id="3393544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42817252">
          <w:marLeft w:val="0"/>
          <w:marRight w:val="0"/>
          <w:marTop w:val="0"/>
          <w:marBottom w:val="0"/>
          <w:divBdr>
            <w:top w:val="none" w:sz="0" w:space="0" w:color="auto"/>
            <w:left w:val="none" w:sz="0" w:space="0" w:color="auto"/>
            <w:bottom w:val="none" w:sz="0" w:space="0" w:color="auto"/>
            <w:right w:val="none" w:sz="0" w:space="0" w:color="auto"/>
          </w:divBdr>
        </w:div>
      </w:divsChild>
    </w:div>
    <w:div w:id="1926065590">
      <w:bodyDiv w:val="1"/>
      <w:marLeft w:val="0"/>
      <w:marRight w:val="0"/>
      <w:marTop w:val="0"/>
      <w:marBottom w:val="0"/>
      <w:divBdr>
        <w:top w:val="none" w:sz="0" w:space="0" w:color="auto"/>
        <w:left w:val="none" w:sz="0" w:space="0" w:color="auto"/>
        <w:bottom w:val="none" w:sz="0" w:space="0" w:color="auto"/>
        <w:right w:val="none" w:sz="0" w:space="0" w:color="auto"/>
      </w:divBdr>
    </w:div>
    <w:div w:id="1998915737">
      <w:bodyDiv w:val="1"/>
      <w:marLeft w:val="0"/>
      <w:marRight w:val="0"/>
      <w:marTop w:val="0"/>
      <w:marBottom w:val="0"/>
      <w:divBdr>
        <w:top w:val="none" w:sz="0" w:space="0" w:color="auto"/>
        <w:left w:val="none" w:sz="0" w:space="0" w:color="auto"/>
        <w:bottom w:val="none" w:sz="0" w:space="0" w:color="auto"/>
        <w:right w:val="none" w:sz="0" w:space="0" w:color="auto"/>
      </w:divBdr>
      <w:divsChild>
        <w:div w:id="323516457">
          <w:marLeft w:val="0"/>
          <w:marRight w:val="0"/>
          <w:marTop w:val="0"/>
          <w:marBottom w:val="0"/>
          <w:divBdr>
            <w:top w:val="single" w:sz="2" w:space="0" w:color="D9D9E3"/>
            <w:left w:val="single" w:sz="2" w:space="0" w:color="D9D9E3"/>
            <w:bottom w:val="single" w:sz="2" w:space="0" w:color="D9D9E3"/>
            <w:right w:val="single" w:sz="2" w:space="0" w:color="D9D9E3"/>
          </w:divBdr>
          <w:divsChild>
            <w:div w:id="440730134">
              <w:marLeft w:val="0"/>
              <w:marRight w:val="0"/>
              <w:marTop w:val="0"/>
              <w:marBottom w:val="0"/>
              <w:divBdr>
                <w:top w:val="single" w:sz="2" w:space="0" w:color="D9D9E3"/>
                <w:left w:val="single" w:sz="2" w:space="0" w:color="D9D9E3"/>
                <w:bottom w:val="single" w:sz="2" w:space="0" w:color="D9D9E3"/>
                <w:right w:val="single" w:sz="2" w:space="0" w:color="D9D9E3"/>
              </w:divBdr>
              <w:divsChild>
                <w:div w:id="322973276">
                  <w:marLeft w:val="0"/>
                  <w:marRight w:val="0"/>
                  <w:marTop w:val="0"/>
                  <w:marBottom w:val="0"/>
                  <w:divBdr>
                    <w:top w:val="single" w:sz="2" w:space="0" w:color="D9D9E3"/>
                    <w:left w:val="single" w:sz="2" w:space="0" w:color="D9D9E3"/>
                    <w:bottom w:val="single" w:sz="2" w:space="0" w:color="D9D9E3"/>
                    <w:right w:val="single" w:sz="2" w:space="0" w:color="D9D9E3"/>
                  </w:divBdr>
                  <w:divsChild>
                    <w:div w:id="730007149">
                      <w:marLeft w:val="0"/>
                      <w:marRight w:val="0"/>
                      <w:marTop w:val="0"/>
                      <w:marBottom w:val="0"/>
                      <w:divBdr>
                        <w:top w:val="single" w:sz="2" w:space="0" w:color="D9D9E3"/>
                        <w:left w:val="single" w:sz="2" w:space="0" w:color="D9D9E3"/>
                        <w:bottom w:val="single" w:sz="2" w:space="0" w:color="D9D9E3"/>
                        <w:right w:val="single" w:sz="2" w:space="0" w:color="D9D9E3"/>
                      </w:divBdr>
                      <w:divsChild>
                        <w:div w:id="830367906">
                          <w:marLeft w:val="0"/>
                          <w:marRight w:val="0"/>
                          <w:marTop w:val="0"/>
                          <w:marBottom w:val="0"/>
                          <w:divBdr>
                            <w:top w:val="single" w:sz="2" w:space="0" w:color="auto"/>
                            <w:left w:val="single" w:sz="2" w:space="0" w:color="auto"/>
                            <w:bottom w:val="single" w:sz="6" w:space="0" w:color="auto"/>
                            <w:right w:val="single" w:sz="2" w:space="0" w:color="auto"/>
                          </w:divBdr>
                          <w:divsChild>
                            <w:div w:id="509639266">
                              <w:marLeft w:val="0"/>
                              <w:marRight w:val="0"/>
                              <w:marTop w:val="100"/>
                              <w:marBottom w:val="100"/>
                              <w:divBdr>
                                <w:top w:val="single" w:sz="2" w:space="0" w:color="D9D9E3"/>
                                <w:left w:val="single" w:sz="2" w:space="0" w:color="D9D9E3"/>
                                <w:bottom w:val="single" w:sz="2" w:space="0" w:color="D9D9E3"/>
                                <w:right w:val="single" w:sz="2" w:space="0" w:color="D9D9E3"/>
                              </w:divBdr>
                              <w:divsChild>
                                <w:div w:id="585961671">
                                  <w:marLeft w:val="0"/>
                                  <w:marRight w:val="0"/>
                                  <w:marTop w:val="0"/>
                                  <w:marBottom w:val="0"/>
                                  <w:divBdr>
                                    <w:top w:val="single" w:sz="2" w:space="0" w:color="D9D9E3"/>
                                    <w:left w:val="single" w:sz="2" w:space="0" w:color="D9D9E3"/>
                                    <w:bottom w:val="single" w:sz="2" w:space="0" w:color="D9D9E3"/>
                                    <w:right w:val="single" w:sz="2" w:space="0" w:color="D9D9E3"/>
                                  </w:divBdr>
                                  <w:divsChild>
                                    <w:div w:id="1871794159">
                                      <w:marLeft w:val="0"/>
                                      <w:marRight w:val="0"/>
                                      <w:marTop w:val="0"/>
                                      <w:marBottom w:val="0"/>
                                      <w:divBdr>
                                        <w:top w:val="single" w:sz="2" w:space="0" w:color="D9D9E3"/>
                                        <w:left w:val="single" w:sz="2" w:space="0" w:color="D9D9E3"/>
                                        <w:bottom w:val="single" w:sz="2" w:space="0" w:color="D9D9E3"/>
                                        <w:right w:val="single" w:sz="2" w:space="0" w:color="D9D9E3"/>
                                      </w:divBdr>
                                      <w:divsChild>
                                        <w:div w:id="1115976695">
                                          <w:marLeft w:val="0"/>
                                          <w:marRight w:val="0"/>
                                          <w:marTop w:val="0"/>
                                          <w:marBottom w:val="0"/>
                                          <w:divBdr>
                                            <w:top w:val="single" w:sz="2" w:space="0" w:color="D9D9E3"/>
                                            <w:left w:val="single" w:sz="2" w:space="0" w:color="D9D9E3"/>
                                            <w:bottom w:val="single" w:sz="2" w:space="0" w:color="D9D9E3"/>
                                            <w:right w:val="single" w:sz="2" w:space="0" w:color="D9D9E3"/>
                                          </w:divBdr>
                                          <w:divsChild>
                                            <w:div w:id="11407320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11443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300</Words>
  <Characters>1528</Characters>
  <Application>Microsoft Office Word</Application>
  <DocSecurity>0</DocSecurity>
  <Lines>41</Lines>
  <Paragraphs>20</Paragraphs>
  <ScaleCrop>false</ScaleCrop>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Trustworth Accounting LLC</dc:creator>
  <cp:keywords/>
  <dc:description/>
  <cp:lastModifiedBy>Trustworth Accounting LLC</cp:lastModifiedBy>
  <cp:revision>2</cp:revision>
  <dcterms:created xsi:type="dcterms:W3CDTF">2023-07-24T13:59:00Z</dcterms:created>
  <dcterms:modified xsi:type="dcterms:W3CDTF">2023-07-24T13:59:00Z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2f274d1d-50eb-4f96-b113-8dd146c1796c</vt:lpwstr>
  </property>
</Properties>
</file>